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90A" w:rsidRPr="00D3390A" w:rsidRDefault="00D3390A" w:rsidP="00D3390A">
      <w:pPr>
        <w:spacing w:line="360" w:lineRule="auto"/>
        <w:jc w:val="left"/>
        <w:rPr>
          <w:rFonts w:ascii="仿宋_GB2312" w:eastAsia="仿宋_GB2312" w:hAnsi="仿宋_GB2312" w:cs="仿宋_GB2312"/>
          <w:sz w:val="32"/>
          <w:szCs w:val="32"/>
        </w:rPr>
      </w:pPr>
      <w:r w:rsidRPr="00D3390A">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3</w:t>
      </w:r>
      <w:r w:rsidRPr="00D3390A">
        <w:rPr>
          <w:rFonts w:ascii="仿宋_GB2312" w:eastAsia="仿宋_GB2312" w:hAnsi="仿宋_GB2312" w:cs="仿宋_GB2312" w:hint="eastAsia"/>
          <w:sz w:val="32"/>
          <w:szCs w:val="32"/>
        </w:rPr>
        <w:t>：</w:t>
      </w:r>
    </w:p>
    <w:p w:rsidR="00D3390A" w:rsidRPr="00D3390A" w:rsidRDefault="00D3390A" w:rsidP="00D3390A">
      <w:pPr>
        <w:spacing w:line="360" w:lineRule="auto"/>
        <w:jc w:val="center"/>
        <w:rPr>
          <w:rFonts w:ascii="仿宋_GB2312" w:eastAsia="仿宋_GB2312" w:hAnsi="仿宋_GB2312" w:cs="仿宋_GB2312"/>
          <w:sz w:val="32"/>
          <w:szCs w:val="32"/>
        </w:rPr>
      </w:pPr>
      <w:r w:rsidRPr="00D3390A">
        <w:rPr>
          <w:rFonts w:ascii="仿宋_GB2312" w:eastAsia="仿宋_GB2312" w:hAnsi="仿宋_GB2312" w:cs="仿宋_GB2312" w:hint="eastAsia"/>
          <w:sz w:val="32"/>
          <w:szCs w:val="32"/>
        </w:rPr>
        <w:t>1、关家明简介</w:t>
      </w:r>
    </w:p>
    <w:p w:rsidR="00D3390A" w:rsidRPr="00D3390A" w:rsidRDefault="00D3390A" w:rsidP="00D3390A">
      <w:pPr>
        <w:spacing w:line="360" w:lineRule="auto"/>
        <w:jc w:val="center"/>
        <w:rPr>
          <w:rFonts w:ascii="仿宋_GB2312" w:eastAsia="仿宋_GB2312" w:hAnsi="仿宋_GB2312" w:cs="仿宋_GB2312"/>
          <w:sz w:val="32"/>
          <w:szCs w:val="32"/>
        </w:rPr>
      </w:pPr>
      <w:r w:rsidRPr="00D3390A">
        <w:rPr>
          <w:rFonts w:ascii="仿宋_GB2312" w:eastAsia="仿宋_GB2312" w:hAnsi="仿宋_GB2312" w:cs="仿宋_GB2312"/>
          <w:noProof/>
          <w:sz w:val="32"/>
          <w:szCs w:val="32"/>
        </w:rPr>
        <w:drawing>
          <wp:inline distT="0" distB="0" distL="0" distR="0">
            <wp:extent cx="1905000" cy="20955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0506657868_imgnic_467542.jpg"/>
                    <pic:cNvPicPr/>
                  </pic:nvPicPr>
                  <pic:blipFill>
                    <a:blip r:embed="rId6">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05000" cy="2095500"/>
                    </a:xfrm>
                    <a:prstGeom prst="rect">
                      <a:avLst/>
                    </a:prstGeom>
                  </pic:spPr>
                </pic:pic>
              </a:graphicData>
            </a:graphic>
          </wp:inline>
        </w:drawing>
      </w:r>
    </w:p>
    <w:p w:rsidR="00D3390A" w:rsidRPr="00D3390A" w:rsidRDefault="00D3390A" w:rsidP="00D3390A">
      <w:pPr>
        <w:spacing w:line="360" w:lineRule="auto"/>
        <w:ind w:firstLineChars="221" w:firstLine="707"/>
        <w:jc w:val="left"/>
        <w:rPr>
          <w:rFonts w:ascii="仿宋_GB2312" w:eastAsia="仿宋_GB2312" w:hAnsi="仿宋_GB2312" w:cs="仿宋_GB2312"/>
          <w:sz w:val="32"/>
          <w:szCs w:val="32"/>
        </w:rPr>
      </w:pPr>
      <w:r w:rsidRPr="00D3390A">
        <w:rPr>
          <w:rFonts w:ascii="仿宋_GB2312" w:eastAsia="仿宋_GB2312" w:hAnsi="仿宋_GB2312" w:cs="仿宋_GB2312" w:hint="eastAsia"/>
          <w:sz w:val="32"/>
          <w:szCs w:val="32"/>
        </w:rPr>
        <w:t>关家明，特许金融分析师，毕业于香港中文大学，并获得英国华威大学工商管理硕士学位。于2013年5月加入香港贸发局出任研究总监。他领导的部门就经济和贸易问题进行研究分析，并提供精辟意见，范围涉及香港、中国内地以及大部分主要市场及新兴市场的重点行业和服务。关家明在经济和商业研究领域拥有超过30年经验，期间曾任渣打银行亚洲区总经济师逾6年，在香港金融管理局从事宏观经济及政策研究7年，在美林证券研究部任职11年至亚太区首席经济师。</w:t>
      </w:r>
    </w:p>
    <w:p w:rsidR="00D3390A" w:rsidRPr="00D3390A" w:rsidRDefault="00D3390A" w:rsidP="00D3390A">
      <w:pPr>
        <w:spacing w:line="360" w:lineRule="auto"/>
        <w:ind w:firstLineChars="221" w:firstLine="707"/>
        <w:jc w:val="left"/>
        <w:rPr>
          <w:rFonts w:ascii="仿宋_GB2312" w:eastAsia="仿宋_GB2312" w:hAnsi="仿宋_GB2312" w:cs="仿宋_GB2312"/>
          <w:sz w:val="32"/>
          <w:szCs w:val="32"/>
        </w:rPr>
      </w:pPr>
    </w:p>
    <w:p w:rsidR="00D3390A" w:rsidRPr="00D3390A" w:rsidRDefault="00D3390A" w:rsidP="00D3390A">
      <w:pPr>
        <w:spacing w:line="360" w:lineRule="auto"/>
        <w:ind w:firstLineChars="221" w:firstLine="707"/>
        <w:jc w:val="left"/>
        <w:rPr>
          <w:rFonts w:ascii="仿宋_GB2312" w:eastAsia="仿宋_GB2312" w:hAnsi="仿宋_GB2312" w:cs="仿宋_GB2312"/>
          <w:sz w:val="32"/>
          <w:szCs w:val="32"/>
        </w:rPr>
      </w:pPr>
    </w:p>
    <w:p w:rsidR="00D3390A" w:rsidRPr="00D3390A" w:rsidRDefault="00D3390A" w:rsidP="00D3390A">
      <w:pPr>
        <w:spacing w:line="360" w:lineRule="auto"/>
        <w:ind w:firstLineChars="221" w:firstLine="707"/>
        <w:jc w:val="left"/>
        <w:rPr>
          <w:rFonts w:ascii="仿宋_GB2312" w:eastAsia="仿宋_GB2312" w:hAnsi="仿宋_GB2312" w:cs="仿宋_GB2312"/>
          <w:sz w:val="32"/>
          <w:szCs w:val="32"/>
        </w:rPr>
      </w:pPr>
    </w:p>
    <w:p w:rsidR="00D3390A" w:rsidRPr="00D3390A" w:rsidRDefault="00D3390A" w:rsidP="00D3390A">
      <w:pPr>
        <w:spacing w:line="360" w:lineRule="auto"/>
        <w:ind w:firstLineChars="221" w:firstLine="707"/>
        <w:jc w:val="left"/>
        <w:rPr>
          <w:rFonts w:ascii="仿宋_GB2312" w:eastAsia="仿宋_GB2312" w:hAnsi="仿宋_GB2312" w:cs="仿宋_GB2312"/>
          <w:sz w:val="32"/>
          <w:szCs w:val="32"/>
        </w:rPr>
      </w:pPr>
    </w:p>
    <w:p w:rsidR="00D3390A" w:rsidRPr="00D3390A" w:rsidRDefault="00D3390A" w:rsidP="00D3390A">
      <w:pPr>
        <w:spacing w:line="360" w:lineRule="auto"/>
        <w:ind w:firstLineChars="221" w:firstLine="707"/>
        <w:jc w:val="left"/>
        <w:rPr>
          <w:rFonts w:ascii="仿宋_GB2312" w:eastAsia="仿宋_GB2312" w:hAnsi="仿宋_GB2312" w:cs="仿宋_GB2312"/>
          <w:sz w:val="32"/>
          <w:szCs w:val="32"/>
        </w:rPr>
      </w:pPr>
    </w:p>
    <w:p w:rsidR="00D3390A" w:rsidRPr="00D3390A" w:rsidRDefault="00D3390A" w:rsidP="00D3390A">
      <w:pPr>
        <w:spacing w:line="360" w:lineRule="auto"/>
        <w:ind w:firstLineChars="221" w:firstLine="707"/>
        <w:jc w:val="left"/>
        <w:rPr>
          <w:rFonts w:ascii="仿宋_GB2312" w:eastAsia="仿宋_GB2312" w:hAnsi="仿宋_GB2312" w:cs="仿宋_GB2312"/>
          <w:sz w:val="32"/>
          <w:szCs w:val="32"/>
        </w:rPr>
      </w:pPr>
    </w:p>
    <w:p w:rsidR="00D3390A" w:rsidRPr="00D3390A" w:rsidRDefault="00D3390A" w:rsidP="00203B32">
      <w:pPr>
        <w:spacing w:line="360" w:lineRule="auto"/>
        <w:jc w:val="center"/>
        <w:rPr>
          <w:rFonts w:ascii="仿宋_GB2312" w:eastAsia="仿宋_GB2312" w:hAnsi="仿宋_GB2312" w:cs="仿宋_GB2312"/>
          <w:sz w:val="32"/>
          <w:szCs w:val="32"/>
        </w:rPr>
      </w:pPr>
      <w:r w:rsidRPr="00D3390A">
        <w:rPr>
          <w:rFonts w:ascii="仿宋_GB2312" w:eastAsia="仿宋_GB2312" w:hAnsi="仿宋_GB2312" w:cs="仿宋_GB2312" w:hint="eastAsia"/>
          <w:sz w:val="32"/>
          <w:szCs w:val="32"/>
        </w:rPr>
        <w:lastRenderedPageBreak/>
        <w:t>2、林至颖简介</w:t>
      </w:r>
    </w:p>
    <w:p w:rsidR="00D3390A" w:rsidRPr="00D3390A" w:rsidRDefault="00D3390A" w:rsidP="00203B32">
      <w:pPr>
        <w:spacing w:line="360" w:lineRule="auto"/>
        <w:jc w:val="center"/>
        <w:rPr>
          <w:rFonts w:ascii="仿宋_GB2312" w:eastAsia="仿宋_GB2312" w:hAnsi="仿宋_GB2312" w:cs="仿宋_GB2312"/>
          <w:sz w:val="32"/>
          <w:szCs w:val="32"/>
        </w:rPr>
      </w:pPr>
      <w:r w:rsidRPr="00D3390A">
        <w:rPr>
          <w:rFonts w:ascii="仿宋_GB2312" w:eastAsia="仿宋_GB2312" w:hAnsi="仿宋_GB2312" w:cs="仿宋_GB2312"/>
          <w:noProof/>
          <w:sz w:val="32"/>
          <w:szCs w:val="32"/>
        </w:rPr>
        <w:drawing>
          <wp:inline distT="0" distB="0" distL="0" distR="0">
            <wp:extent cx="1685677" cy="2528515"/>
            <wp:effectExtent l="0" t="0" r="0"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81b.jpg"/>
                    <pic:cNvPicPr/>
                  </pic:nvPicPr>
                  <pic:blipFill>
                    <a:blip r:embed="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85677" cy="2528515"/>
                    </a:xfrm>
                    <a:prstGeom prst="rect">
                      <a:avLst/>
                    </a:prstGeom>
                  </pic:spPr>
                </pic:pic>
              </a:graphicData>
            </a:graphic>
          </wp:inline>
        </w:drawing>
      </w:r>
    </w:p>
    <w:p w:rsidR="00D3390A" w:rsidRPr="00D3390A" w:rsidRDefault="00D3390A" w:rsidP="00D3390A">
      <w:pPr>
        <w:spacing w:line="360" w:lineRule="auto"/>
        <w:ind w:firstLineChars="221" w:firstLine="707"/>
        <w:jc w:val="left"/>
        <w:rPr>
          <w:rFonts w:ascii="仿宋_GB2312" w:eastAsia="仿宋_GB2312" w:hAnsi="仿宋_GB2312" w:cs="仿宋_GB2312"/>
          <w:sz w:val="32"/>
          <w:szCs w:val="32"/>
        </w:rPr>
      </w:pPr>
      <w:r w:rsidRPr="00D3390A">
        <w:rPr>
          <w:rFonts w:ascii="仿宋_GB2312" w:eastAsia="仿宋_GB2312" w:hAnsi="仿宋_GB2312" w:cs="仿宋_GB2312" w:hint="eastAsia"/>
          <w:sz w:val="32"/>
          <w:szCs w:val="32"/>
        </w:rPr>
        <w:t>林至颖是中山市政协第十一届中山市委员、广东省青联第十届委员、中山市青联第八届委员、国务院全国港澳研究会港区特邀代表、国家商务部经贸政策咨询委员会专家、原香港特别行政区政府中央政策组非全职顾问。林先生同时兼任中国人民大学商学院客座教授、浙江大学管理学院客座教授、清华大学经管学院中国金融研究中心商业模式研究工作室特聘高级研究员、中山大学信息经济与政策研究中心特聘研究员、广东外语外贸大学粤商研究中心兼职研究员、广东财经大学流通经济研究所兼职研究员、暨南大学现代流通研究中心特约研究员、中国商业经济学会委员兼青年分会副会长、广东亚太电子商务研究院副院长、广东省粤商研究会副理事长、广东省商业经济学会副会长、广东省物流与供应链学会副秘书长、香港跨境电子商务协会荣誉会长。</w:t>
      </w:r>
    </w:p>
    <w:p w:rsidR="00D3390A" w:rsidRPr="00D3390A" w:rsidRDefault="00D3390A" w:rsidP="00D3390A">
      <w:pPr>
        <w:spacing w:line="360" w:lineRule="auto"/>
        <w:ind w:firstLineChars="221" w:firstLine="707"/>
        <w:jc w:val="center"/>
        <w:rPr>
          <w:rFonts w:ascii="仿宋_GB2312" w:eastAsia="仿宋_GB2312" w:hAnsi="仿宋_GB2312" w:cs="仿宋_GB2312"/>
          <w:sz w:val="32"/>
          <w:szCs w:val="32"/>
        </w:rPr>
      </w:pPr>
    </w:p>
    <w:p w:rsidR="00D3390A" w:rsidRPr="00D3390A" w:rsidRDefault="00D3390A" w:rsidP="00D3390A">
      <w:pPr>
        <w:spacing w:line="360" w:lineRule="auto"/>
        <w:ind w:firstLineChars="221" w:firstLine="707"/>
        <w:jc w:val="center"/>
        <w:rPr>
          <w:rFonts w:ascii="仿宋_GB2312" w:eastAsia="仿宋_GB2312" w:hAnsi="仿宋_GB2312" w:cs="仿宋_GB2312"/>
          <w:sz w:val="32"/>
          <w:szCs w:val="32"/>
        </w:rPr>
      </w:pPr>
    </w:p>
    <w:p w:rsidR="00D3390A" w:rsidRPr="00D3390A" w:rsidRDefault="00D3390A" w:rsidP="00203B32">
      <w:pPr>
        <w:spacing w:line="360" w:lineRule="auto"/>
        <w:jc w:val="center"/>
        <w:rPr>
          <w:rFonts w:ascii="仿宋_GB2312" w:eastAsia="仿宋_GB2312" w:hAnsi="仿宋_GB2312" w:cs="仿宋_GB2312"/>
          <w:sz w:val="32"/>
          <w:szCs w:val="32"/>
        </w:rPr>
      </w:pPr>
      <w:r w:rsidRPr="00D3390A">
        <w:rPr>
          <w:rFonts w:ascii="仿宋_GB2312" w:eastAsia="仿宋_GB2312" w:hAnsi="仿宋_GB2312" w:cs="仿宋_GB2312" w:hint="eastAsia"/>
          <w:sz w:val="32"/>
          <w:szCs w:val="32"/>
        </w:rPr>
        <w:lastRenderedPageBreak/>
        <w:t>3、黄国伟简介</w:t>
      </w:r>
    </w:p>
    <w:p w:rsidR="00D3390A" w:rsidRPr="00203B32" w:rsidRDefault="00203B32" w:rsidP="00203B32">
      <w:pPr>
        <w:spacing w:line="360" w:lineRule="auto"/>
        <w:ind w:firstLineChars="221" w:firstLine="707"/>
        <w:jc w:val="left"/>
        <w:rPr>
          <w:rFonts w:ascii="仿宋_GB2312" w:eastAsia="仿宋_GB2312" w:hAnsi="仿宋_GB2312" w:cs="仿宋_GB2312"/>
          <w:sz w:val="32"/>
          <w:szCs w:val="32"/>
        </w:rPr>
      </w:pPr>
      <w:r w:rsidRPr="00203B32">
        <w:rPr>
          <w:rFonts w:ascii="仿宋_GB2312" w:eastAsia="仿宋_GB2312" w:hAnsi="仿宋_GB2312" w:cs="仿宋_GB2312" w:hint="eastAsia"/>
          <w:sz w:val="32"/>
          <w:szCs w:val="32"/>
        </w:rPr>
        <w:t>黄国伟先生现为贸发局刊物及电子商贸部销售业务经理，主要负责推广贸发网、贸发局产品杂志及“小批量采购”及其销售工作。会上黄先生将分享有关电子商贸平台之最新发展，及介绍买家最新采购趋势，并简介小批量采购如何协助企业开拓海外市场。</w:t>
      </w:r>
    </w:p>
    <w:p w:rsidR="00737DBA" w:rsidRDefault="00737DBA"/>
    <w:sectPr w:rsidR="00737DBA" w:rsidSect="002F04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E9D" w:rsidRDefault="002C0E9D" w:rsidP="00D3390A">
      <w:r>
        <w:separator/>
      </w:r>
    </w:p>
  </w:endnote>
  <w:endnote w:type="continuationSeparator" w:id="1">
    <w:p w:rsidR="002C0E9D" w:rsidRDefault="002C0E9D" w:rsidP="00D339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E9D" w:rsidRDefault="002C0E9D" w:rsidP="00D3390A">
      <w:r>
        <w:separator/>
      </w:r>
    </w:p>
  </w:footnote>
  <w:footnote w:type="continuationSeparator" w:id="1">
    <w:p w:rsidR="002C0E9D" w:rsidRDefault="002C0E9D" w:rsidP="00D339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390A"/>
    <w:rsid w:val="000D61FE"/>
    <w:rsid w:val="00203B32"/>
    <w:rsid w:val="002C0E9D"/>
    <w:rsid w:val="00737DBA"/>
    <w:rsid w:val="00D339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1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3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390A"/>
    <w:rPr>
      <w:sz w:val="18"/>
      <w:szCs w:val="18"/>
    </w:rPr>
  </w:style>
  <w:style w:type="paragraph" w:styleId="a4">
    <w:name w:val="footer"/>
    <w:basedOn w:val="a"/>
    <w:link w:val="Char0"/>
    <w:uiPriority w:val="99"/>
    <w:semiHidden/>
    <w:unhideWhenUsed/>
    <w:rsid w:val="00D339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390A"/>
    <w:rPr>
      <w:sz w:val="18"/>
      <w:szCs w:val="18"/>
    </w:rPr>
  </w:style>
  <w:style w:type="paragraph" w:styleId="a5">
    <w:name w:val="Balloon Text"/>
    <w:basedOn w:val="a"/>
    <w:link w:val="Char1"/>
    <w:uiPriority w:val="99"/>
    <w:semiHidden/>
    <w:unhideWhenUsed/>
    <w:rsid w:val="00D3390A"/>
    <w:rPr>
      <w:sz w:val="18"/>
      <w:szCs w:val="18"/>
    </w:rPr>
  </w:style>
  <w:style w:type="character" w:customStyle="1" w:styleId="Char1">
    <w:name w:val="批注框文本 Char"/>
    <w:basedOn w:val="a0"/>
    <w:link w:val="a5"/>
    <w:uiPriority w:val="99"/>
    <w:semiHidden/>
    <w:rsid w:val="00D3390A"/>
    <w:rPr>
      <w:sz w:val="18"/>
      <w:szCs w:val="18"/>
    </w:rPr>
  </w:style>
</w:styles>
</file>

<file path=word/webSettings.xml><?xml version="1.0" encoding="utf-8"?>
<w:webSettings xmlns:r="http://schemas.openxmlformats.org/officeDocument/2006/relationships" xmlns:w="http://schemas.openxmlformats.org/wordprocessingml/2006/main">
  <w:divs>
    <w:div w:id="123438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Words>
  <Characters>597</Characters>
  <Application>Microsoft Office Word</Application>
  <DocSecurity>0</DocSecurity>
  <Lines>4</Lines>
  <Paragraphs>1</Paragraphs>
  <ScaleCrop>false</ScaleCrop>
  <Company>微软中国</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2016-06-23T06:55:00Z</dcterms:created>
  <dcterms:modified xsi:type="dcterms:W3CDTF">2016-06-23T08:30:00Z</dcterms:modified>
</cp:coreProperties>
</file>